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AAAF" w14:textId="77777777" w:rsidR="00FE067E" w:rsidRPr="008B75D6" w:rsidRDefault="00CD36CF" w:rsidP="00F35C12">
      <w:pPr>
        <w:pStyle w:val="TitlePageOrigin"/>
        <w:rPr>
          <w:color w:val="auto"/>
        </w:rPr>
      </w:pPr>
      <w:r w:rsidRPr="008B75D6">
        <w:rPr>
          <w:color w:val="auto"/>
        </w:rPr>
        <w:t>WEST virginia legislature</w:t>
      </w:r>
    </w:p>
    <w:p w14:paraId="3F47E646" w14:textId="77777777" w:rsidR="00CD36CF" w:rsidRPr="008B75D6" w:rsidRDefault="00470D6E" w:rsidP="00F35C12">
      <w:pPr>
        <w:pStyle w:val="TitlePageSession"/>
        <w:rPr>
          <w:color w:val="auto"/>
        </w:rPr>
      </w:pPr>
      <w:r w:rsidRPr="008B75D6">
        <w:rPr>
          <w:color w:val="auto"/>
        </w:rPr>
        <w:t>20</w:t>
      </w:r>
      <w:r w:rsidR="007C2B4B" w:rsidRPr="008B75D6">
        <w:rPr>
          <w:color w:val="auto"/>
        </w:rPr>
        <w:t>2</w:t>
      </w:r>
      <w:r w:rsidR="004F2845" w:rsidRPr="008B75D6">
        <w:rPr>
          <w:color w:val="auto"/>
        </w:rPr>
        <w:t>2</w:t>
      </w:r>
      <w:r w:rsidR="00CD36CF" w:rsidRPr="008B75D6">
        <w:rPr>
          <w:color w:val="auto"/>
        </w:rPr>
        <w:t xml:space="preserve"> regular session</w:t>
      </w:r>
    </w:p>
    <w:p w14:paraId="4459D815" w14:textId="77777777" w:rsidR="00CD36CF" w:rsidRPr="008B75D6" w:rsidRDefault="008E50D3" w:rsidP="00F35C12">
      <w:pPr>
        <w:pStyle w:val="TitlePageBillPrefix"/>
        <w:rPr>
          <w:color w:val="auto"/>
        </w:rPr>
      </w:pPr>
      <w:sdt>
        <w:sdtPr>
          <w:rPr>
            <w:color w:val="auto"/>
          </w:rPr>
          <w:tag w:val="IntroDate"/>
          <w:id w:val="-1236936958"/>
          <w:placeholder>
            <w:docPart w:val="D8FB673975F44D6FA01DEFCB956D4284"/>
          </w:placeholder>
          <w:text/>
        </w:sdtPr>
        <w:sdtEndPr/>
        <w:sdtContent>
          <w:r w:rsidR="008C4888" w:rsidRPr="008B75D6">
            <w:rPr>
              <w:color w:val="auto"/>
            </w:rPr>
            <w:t>Introduced</w:t>
          </w:r>
        </w:sdtContent>
      </w:sdt>
    </w:p>
    <w:p w14:paraId="45C37080" w14:textId="6A6E8710" w:rsidR="00CD36CF" w:rsidRPr="008B75D6" w:rsidRDefault="008E50D3" w:rsidP="00F35C12">
      <w:pPr>
        <w:pStyle w:val="BillNumber"/>
        <w:rPr>
          <w:color w:val="auto"/>
        </w:rPr>
      </w:pPr>
      <w:sdt>
        <w:sdtPr>
          <w:rPr>
            <w:color w:val="auto"/>
          </w:rPr>
          <w:tag w:val="Chamber"/>
          <w:id w:val="893011969"/>
          <w:lock w:val="sdtLocked"/>
          <w:placeholder>
            <w:docPart w:val="5205E26E3A794E4EBB483F03056CBCF5"/>
          </w:placeholder>
          <w:dropDownList>
            <w:listItem w:displayText="House" w:value="House"/>
            <w:listItem w:displayText="Senate" w:value="Senate"/>
          </w:dropDownList>
        </w:sdtPr>
        <w:sdtEndPr/>
        <w:sdtContent>
          <w:r w:rsidR="006011AD" w:rsidRPr="008B75D6">
            <w:rPr>
              <w:color w:val="auto"/>
            </w:rPr>
            <w:t>Senate</w:t>
          </w:r>
        </w:sdtContent>
      </w:sdt>
      <w:r w:rsidR="00303684" w:rsidRPr="008B75D6">
        <w:rPr>
          <w:color w:val="auto"/>
        </w:rPr>
        <w:t xml:space="preserve"> </w:t>
      </w:r>
      <w:r w:rsidR="00E379D8" w:rsidRPr="008B75D6">
        <w:rPr>
          <w:color w:val="auto"/>
        </w:rPr>
        <w:t>Bill</w:t>
      </w:r>
      <w:r w:rsidR="00376062" w:rsidRPr="008B75D6">
        <w:rPr>
          <w:color w:val="auto"/>
        </w:rPr>
        <w:t xml:space="preserve"> </w:t>
      </w:r>
      <w:sdt>
        <w:sdtPr>
          <w:rPr>
            <w:color w:val="auto"/>
          </w:rPr>
          <w:tag w:val="BNumWH"/>
          <w:id w:val="-544526420"/>
          <w:placeholder>
            <w:docPart w:val="6464E7A7F6CD44C0ADF19A8966898502"/>
          </w:placeholder>
          <w:text/>
        </w:sdtPr>
        <w:sdtEndPr/>
        <w:sdtContent>
          <w:r w:rsidR="00CE6FAD">
            <w:rPr>
              <w:color w:val="auto"/>
            </w:rPr>
            <w:t>602</w:t>
          </w:r>
        </w:sdtContent>
      </w:sdt>
    </w:p>
    <w:p w14:paraId="75BFB44A" w14:textId="50874026" w:rsidR="00CD36CF" w:rsidRPr="008B75D6" w:rsidRDefault="00CD36CF" w:rsidP="00F35C12">
      <w:pPr>
        <w:pStyle w:val="Sponsors"/>
        <w:rPr>
          <w:color w:val="auto"/>
        </w:rPr>
      </w:pPr>
      <w:r w:rsidRPr="008B75D6">
        <w:rPr>
          <w:color w:val="auto"/>
        </w:rPr>
        <w:t xml:space="preserve">By </w:t>
      </w:r>
      <w:sdt>
        <w:sdtPr>
          <w:rPr>
            <w:color w:val="auto"/>
          </w:rPr>
          <w:tag w:val="Sponsors"/>
          <w:id w:val="1589585889"/>
          <w:placeholder>
            <w:docPart w:val="472ACF78EC88452BAD73CDBD09D7DE63"/>
          </w:placeholder>
          <w:text w:multiLine="1"/>
        </w:sdtPr>
        <w:sdtEndPr/>
        <w:sdtContent>
          <w:r w:rsidR="006011AD" w:rsidRPr="008B75D6">
            <w:rPr>
              <w:color w:val="auto"/>
            </w:rPr>
            <w:t>Senator</w:t>
          </w:r>
          <w:r w:rsidR="008E50D3">
            <w:rPr>
              <w:color w:val="auto"/>
            </w:rPr>
            <w:t>s</w:t>
          </w:r>
          <w:r w:rsidR="006011AD" w:rsidRPr="008B75D6">
            <w:rPr>
              <w:color w:val="auto"/>
            </w:rPr>
            <w:t xml:space="preserve"> Maynard</w:t>
          </w:r>
          <w:r w:rsidR="008E50D3">
            <w:rPr>
              <w:color w:val="auto"/>
            </w:rPr>
            <w:t xml:space="preserve"> and Rucker</w:t>
          </w:r>
        </w:sdtContent>
      </w:sdt>
    </w:p>
    <w:p w14:paraId="4D832E16" w14:textId="385A86D1" w:rsidR="00E831B3" w:rsidRPr="008B75D6" w:rsidRDefault="008E50D3" w:rsidP="00F27D39">
      <w:pPr>
        <w:pStyle w:val="References"/>
        <w:rPr>
          <w:color w:val="auto"/>
        </w:rPr>
      </w:pPr>
      <w:sdt>
        <w:sdtPr>
          <w:rPr>
            <w:color w:val="auto"/>
          </w:rPr>
          <w:tag w:val="References"/>
          <w:id w:val="-1043047873"/>
          <w:placeholder>
            <w:docPart w:val="17DF610EFE604BFF8945DA838BC7A7C0"/>
          </w:placeholder>
          <w:text w:multiLine="1"/>
        </w:sdtPr>
        <w:sdtEndPr/>
        <w:sdtContent>
          <w:r w:rsidR="00CE6FAD" w:rsidRPr="00CE6FAD">
            <w:rPr>
              <w:color w:val="auto"/>
            </w:rPr>
            <w:t>[Introduced February 09, 2022; referred</w:t>
          </w:r>
          <w:r w:rsidR="00CE6FAD" w:rsidRPr="00CE6FAD">
            <w:rPr>
              <w:color w:val="auto"/>
            </w:rPr>
            <w:br/>
            <w:t>to the Committee on</w:t>
          </w:r>
          <w:r w:rsidR="00EA4223">
            <w:rPr>
              <w:color w:val="auto"/>
            </w:rPr>
            <w:t xml:space="preserve"> the Judiciary</w:t>
          </w:r>
        </w:sdtContent>
      </w:sdt>
      <w:r w:rsidR="00CD36CF" w:rsidRPr="008B75D6">
        <w:rPr>
          <w:color w:val="auto"/>
        </w:rPr>
        <w:t>]</w:t>
      </w:r>
    </w:p>
    <w:p w14:paraId="3C8BE25A" w14:textId="21354A7D" w:rsidR="00303684" w:rsidRPr="008B75D6" w:rsidRDefault="0000526A" w:rsidP="00F35C12">
      <w:pPr>
        <w:pStyle w:val="TitleSection"/>
        <w:rPr>
          <w:color w:val="auto"/>
        </w:rPr>
      </w:pPr>
      <w:r w:rsidRPr="008B75D6">
        <w:rPr>
          <w:color w:val="auto"/>
        </w:rPr>
        <w:lastRenderedPageBreak/>
        <w:t>A BILL</w:t>
      </w:r>
      <w:r w:rsidR="0042727E" w:rsidRPr="008B75D6">
        <w:rPr>
          <w:color w:val="auto"/>
        </w:rPr>
        <w:t xml:space="preserve"> to</w:t>
      </w:r>
      <w:r w:rsidR="00AC1087" w:rsidRPr="008B75D6">
        <w:rPr>
          <w:color w:val="auto"/>
        </w:rPr>
        <w:t xml:space="preserve"> amend the Code of West Virginia, 193</w:t>
      </w:r>
      <w:r w:rsidR="00F27D39" w:rsidRPr="008B75D6">
        <w:rPr>
          <w:color w:val="auto"/>
        </w:rPr>
        <w:t>1</w:t>
      </w:r>
      <w:r w:rsidR="00AC1087" w:rsidRPr="008B75D6">
        <w:rPr>
          <w:color w:val="auto"/>
        </w:rPr>
        <w:t>, as amended, by adding thereto a new article, designated §55-20-1</w:t>
      </w:r>
      <w:r w:rsidR="00F27D39" w:rsidRPr="008B75D6">
        <w:rPr>
          <w:color w:val="auto"/>
        </w:rPr>
        <w:t xml:space="preserve"> and</w:t>
      </w:r>
      <w:r w:rsidR="00AC1087" w:rsidRPr="008B75D6">
        <w:rPr>
          <w:color w:val="auto"/>
        </w:rPr>
        <w:t xml:space="preserve"> §55-20-2, all relating to </w:t>
      </w:r>
      <w:r w:rsidR="000A2D51" w:rsidRPr="008B75D6">
        <w:rPr>
          <w:color w:val="auto"/>
        </w:rPr>
        <w:t xml:space="preserve">denying a nuisance action for damages against a sports </w:t>
      </w:r>
      <w:r w:rsidR="00821166" w:rsidRPr="008B75D6">
        <w:rPr>
          <w:color w:val="auto"/>
        </w:rPr>
        <w:t xml:space="preserve">or exposition </w:t>
      </w:r>
      <w:r w:rsidR="000A2D51" w:rsidRPr="008B75D6">
        <w:rPr>
          <w:color w:val="auto"/>
        </w:rPr>
        <w:t>venue operation; and providing exceptions.</w:t>
      </w:r>
    </w:p>
    <w:p w14:paraId="5D7760CC" w14:textId="77777777" w:rsidR="00303684" w:rsidRPr="008B75D6" w:rsidRDefault="00303684" w:rsidP="00F35C12">
      <w:pPr>
        <w:pStyle w:val="EnactingClause"/>
        <w:rPr>
          <w:color w:val="auto"/>
        </w:rPr>
        <w:sectPr w:rsidR="00303684" w:rsidRPr="008B75D6"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B75D6">
        <w:rPr>
          <w:color w:val="auto"/>
        </w:rPr>
        <w:t>Be it enacted by the Legislature of West Virginia:</w:t>
      </w:r>
    </w:p>
    <w:p w14:paraId="7FC1CD4A" w14:textId="1CB514E5" w:rsidR="002960B3" w:rsidRPr="008B75D6" w:rsidRDefault="002960B3" w:rsidP="002960B3">
      <w:pPr>
        <w:pStyle w:val="ArticleHeading"/>
        <w:rPr>
          <w:color w:val="auto"/>
          <w:u w:val="single"/>
        </w:rPr>
      </w:pPr>
      <w:r w:rsidRPr="008B75D6">
        <w:rPr>
          <w:color w:val="auto"/>
          <w:u w:val="single"/>
        </w:rPr>
        <w:t xml:space="preserve">ARTICLE 20. IMMUNITY FROM </w:t>
      </w:r>
      <w:r w:rsidR="00AC1087" w:rsidRPr="008B75D6">
        <w:rPr>
          <w:color w:val="auto"/>
          <w:u w:val="single"/>
        </w:rPr>
        <w:t>NUISANCE</w:t>
      </w:r>
      <w:r w:rsidR="000A2D51" w:rsidRPr="008B75D6">
        <w:rPr>
          <w:color w:val="auto"/>
          <w:u w:val="single"/>
        </w:rPr>
        <w:t xml:space="preserve"> ACTION</w:t>
      </w:r>
      <w:r w:rsidRPr="008B75D6">
        <w:rPr>
          <w:color w:val="auto"/>
          <w:u w:val="single"/>
        </w:rPr>
        <w:t xml:space="preserve"> FOR </w:t>
      </w:r>
      <w:r w:rsidR="000A2D51" w:rsidRPr="008B75D6">
        <w:rPr>
          <w:color w:val="auto"/>
          <w:u w:val="single"/>
        </w:rPr>
        <w:t xml:space="preserve">DAMAGES AGAINST </w:t>
      </w:r>
      <w:r w:rsidRPr="008B75D6">
        <w:rPr>
          <w:color w:val="auto"/>
          <w:u w:val="single"/>
        </w:rPr>
        <w:t xml:space="preserve">SPORTS </w:t>
      </w:r>
      <w:r w:rsidR="00821166" w:rsidRPr="008B75D6">
        <w:rPr>
          <w:color w:val="auto"/>
          <w:u w:val="single"/>
        </w:rPr>
        <w:t xml:space="preserve">or exposition </w:t>
      </w:r>
      <w:r w:rsidRPr="008B75D6">
        <w:rPr>
          <w:color w:val="auto"/>
          <w:u w:val="single"/>
        </w:rPr>
        <w:t>VENUE</w:t>
      </w:r>
      <w:r w:rsidR="000A2D51" w:rsidRPr="008B75D6">
        <w:rPr>
          <w:color w:val="auto"/>
          <w:u w:val="single"/>
        </w:rPr>
        <w:t xml:space="preserve"> operation</w:t>
      </w:r>
      <w:r w:rsidRPr="008B75D6">
        <w:rPr>
          <w:color w:val="auto"/>
          <w:u w:val="single"/>
        </w:rPr>
        <w:t>.</w:t>
      </w:r>
    </w:p>
    <w:p w14:paraId="48ED8020" w14:textId="77777777" w:rsidR="002960B3" w:rsidRPr="008B75D6" w:rsidRDefault="002960B3" w:rsidP="002960B3">
      <w:pPr>
        <w:pStyle w:val="SectionHeading"/>
        <w:rPr>
          <w:color w:val="auto"/>
          <w:u w:val="single"/>
        </w:rPr>
      </w:pPr>
      <w:r w:rsidRPr="008B75D6">
        <w:rPr>
          <w:color w:val="auto"/>
          <w:u w:val="single"/>
        </w:rPr>
        <w:t>§55-20-1. Definitions.</w:t>
      </w:r>
    </w:p>
    <w:p w14:paraId="7E3CB808" w14:textId="77777777" w:rsidR="002960B3" w:rsidRPr="008B75D6" w:rsidRDefault="002960B3" w:rsidP="002960B3">
      <w:pPr>
        <w:pStyle w:val="SectionBody"/>
        <w:rPr>
          <w:color w:val="auto"/>
          <w:u w:val="single"/>
        </w:rPr>
      </w:pPr>
      <w:r w:rsidRPr="008B75D6">
        <w:rPr>
          <w:color w:val="auto"/>
          <w:u w:val="single"/>
        </w:rPr>
        <w:t>For purposes of this article:</w:t>
      </w:r>
    </w:p>
    <w:p w14:paraId="40F76975" w14:textId="3993A331" w:rsidR="002960B3" w:rsidRPr="008B75D6" w:rsidRDefault="002960B3" w:rsidP="002960B3">
      <w:pPr>
        <w:pStyle w:val="SectionBody"/>
        <w:rPr>
          <w:rFonts w:cs="Arial"/>
          <w:color w:val="auto"/>
          <w:u w:val="single"/>
          <w:lang w:val="en"/>
        </w:rPr>
      </w:pPr>
      <w:r w:rsidRPr="008B75D6">
        <w:rPr>
          <w:color w:val="auto"/>
          <w:u w:val="single"/>
        </w:rPr>
        <w:t>“</w:t>
      </w:r>
      <w:r w:rsidR="008F7DFE" w:rsidRPr="008B75D6">
        <w:rPr>
          <w:color w:val="auto"/>
          <w:u w:val="single"/>
        </w:rPr>
        <w:t>S</w:t>
      </w:r>
      <w:r w:rsidRPr="008B75D6">
        <w:rPr>
          <w:color w:val="auto"/>
          <w:u w:val="single"/>
        </w:rPr>
        <w:t xml:space="preserve">ports </w:t>
      </w:r>
      <w:r w:rsidR="00821166" w:rsidRPr="008B75D6">
        <w:rPr>
          <w:color w:val="auto"/>
          <w:u w:val="single"/>
        </w:rPr>
        <w:t xml:space="preserve">or exposition </w:t>
      </w:r>
      <w:r w:rsidRPr="008B75D6">
        <w:rPr>
          <w:color w:val="auto"/>
          <w:u w:val="single"/>
        </w:rPr>
        <w:t xml:space="preserve">venue” means a venue where competitive sporting events occur </w:t>
      </w:r>
      <w:r w:rsidR="00E508F8" w:rsidRPr="008B75D6">
        <w:rPr>
          <w:color w:val="auto"/>
          <w:u w:val="single"/>
        </w:rPr>
        <w:t xml:space="preserve">involving motorized vehicles, </w:t>
      </w:r>
      <w:r w:rsidR="00E508F8" w:rsidRPr="008B75D6">
        <w:rPr>
          <w:rFonts w:cs="Arial"/>
          <w:color w:val="auto"/>
          <w:u w:val="single"/>
          <w:lang w:val="en"/>
        </w:rPr>
        <w:t>whether for racing or non-racing competition, or competitive athletic events, and includes, but is not limited to, large public exhibitions of art or trade goods, trade fairs, display shows, presentation, and demonstration exhibits, and includes its owners, agents, employees, or contractors</w:t>
      </w:r>
      <w:r w:rsidR="00E508F8" w:rsidRPr="008B75D6">
        <w:rPr>
          <w:color w:val="auto"/>
          <w:u w:val="single"/>
        </w:rPr>
        <w:t xml:space="preserve">  </w:t>
      </w:r>
      <w:r w:rsidRPr="008B75D6">
        <w:rPr>
          <w:color w:val="auto"/>
          <w:u w:val="single"/>
        </w:rPr>
        <w:t xml:space="preserve">primarily involving motorized vehicles, </w:t>
      </w:r>
      <w:r w:rsidRPr="008B75D6">
        <w:rPr>
          <w:rFonts w:cs="Arial"/>
          <w:color w:val="auto"/>
          <w:u w:val="single"/>
          <w:lang w:val="en"/>
        </w:rPr>
        <w:t>whether for racing or nonracing competition, and includes its owners, agents, employees, or contractors</w:t>
      </w:r>
      <w:r w:rsidR="004F3DF6" w:rsidRPr="008B75D6">
        <w:rPr>
          <w:rFonts w:cs="Arial"/>
          <w:color w:val="auto"/>
          <w:u w:val="single"/>
          <w:lang w:val="en"/>
        </w:rPr>
        <w:t>.</w:t>
      </w:r>
    </w:p>
    <w:p w14:paraId="0C161F6D" w14:textId="77777777" w:rsidR="00F27D39" w:rsidRPr="008B75D6" w:rsidRDefault="002960B3" w:rsidP="002960B3">
      <w:pPr>
        <w:pStyle w:val="SectionHeading"/>
        <w:rPr>
          <w:color w:val="auto"/>
          <w:u w:val="single"/>
          <w:lang w:val="en"/>
        </w:rPr>
        <w:sectPr w:rsidR="00F27D39" w:rsidRPr="008B75D6" w:rsidSect="00DF199D">
          <w:type w:val="continuous"/>
          <w:pgSz w:w="12240" w:h="15840" w:code="1"/>
          <w:pgMar w:top="1440" w:right="1440" w:bottom="1440" w:left="1440" w:header="720" w:footer="720" w:gutter="0"/>
          <w:lnNumType w:countBy="1" w:restart="newSection"/>
          <w:cols w:space="720"/>
          <w:titlePg/>
          <w:docGrid w:linePitch="360"/>
        </w:sectPr>
      </w:pPr>
      <w:r w:rsidRPr="008B75D6">
        <w:rPr>
          <w:color w:val="auto"/>
          <w:u w:val="single"/>
          <w:lang w:val="en"/>
        </w:rPr>
        <w:t>§55-20-2.</w:t>
      </w:r>
      <w:r w:rsidR="002A4121" w:rsidRPr="008B75D6">
        <w:rPr>
          <w:color w:val="auto"/>
          <w:u w:val="single"/>
          <w:lang w:val="en"/>
        </w:rPr>
        <w:t xml:space="preserve">  Nuisance action for damages may not be brought.</w:t>
      </w:r>
    </w:p>
    <w:p w14:paraId="72B3CBE8" w14:textId="261AD784" w:rsidR="002A4121" w:rsidRPr="008B75D6" w:rsidRDefault="002A4121" w:rsidP="00F27D39">
      <w:pPr>
        <w:pStyle w:val="SectionBody"/>
        <w:rPr>
          <w:color w:val="auto"/>
          <w:u w:val="single"/>
        </w:rPr>
      </w:pPr>
      <w:r w:rsidRPr="008B75D6">
        <w:rPr>
          <w:color w:val="auto"/>
          <w:u w:val="single"/>
        </w:rPr>
        <w:t xml:space="preserve">(a) A person may not file a nuisance action to recover damages in which an event at a sports </w:t>
      </w:r>
      <w:r w:rsidR="00821166" w:rsidRPr="008B75D6">
        <w:rPr>
          <w:color w:val="auto"/>
          <w:u w:val="single"/>
        </w:rPr>
        <w:t xml:space="preserve">or exposition </w:t>
      </w:r>
      <w:r w:rsidRPr="008B75D6">
        <w:rPr>
          <w:color w:val="auto"/>
          <w:u w:val="single"/>
        </w:rPr>
        <w:t>venue is alleged to be a public or private nuisance unless:</w:t>
      </w:r>
    </w:p>
    <w:p w14:paraId="76A26788" w14:textId="77777777" w:rsidR="002A4121" w:rsidRPr="008B75D6" w:rsidRDefault="002A4121" w:rsidP="00F27D39">
      <w:pPr>
        <w:pStyle w:val="SectionBody"/>
        <w:rPr>
          <w:color w:val="auto"/>
          <w:u w:val="single"/>
        </w:rPr>
      </w:pPr>
      <w:r w:rsidRPr="008B75D6">
        <w:rPr>
          <w:color w:val="auto"/>
          <w:u w:val="single"/>
        </w:rPr>
        <w:t>(1) He or she is the majority legal land owner;</w:t>
      </w:r>
    </w:p>
    <w:p w14:paraId="4F6ACE1B" w14:textId="631B8D2B" w:rsidR="002A4121" w:rsidRPr="008B75D6" w:rsidRDefault="002A4121" w:rsidP="00F27D39">
      <w:pPr>
        <w:pStyle w:val="SectionBody"/>
        <w:rPr>
          <w:color w:val="auto"/>
          <w:u w:val="single"/>
        </w:rPr>
      </w:pPr>
      <w:r w:rsidRPr="008B75D6">
        <w:rPr>
          <w:color w:val="auto"/>
          <w:u w:val="single"/>
        </w:rPr>
        <w:t>(2) He or she owns property adversely affected by a competitive sporting events; and</w:t>
      </w:r>
    </w:p>
    <w:p w14:paraId="4F71CBD5" w14:textId="1AE9E1D0" w:rsidR="002A4121" w:rsidRPr="008B75D6" w:rsidRDefault="002A4121" w:rsidP="00F27D39">
      <w:pPr>
        <w:pStyle w:val="SectionBody"/>
        <w:rPr>
          <w:color w:val="auto"/>
          <w:u w:val="single"/>
        </w:rPr>
      </w:pPr>
      <w:r w:rsidRPr="008B75D6">
        <w:rPr>
          <w:color w:val="auto"/>
          <w:u w:val="single"/>
        </w:rPr>
        <w:t xml:space="preserve">(3) The sporting </w:t>
      </w:r>
      <w:r w:rsidR="00821166" w:rsidRPr="008B75D6">
        <w:rPr>
          <w:color w:val="auto"/>
          <w:u w:val="single"/>
        </w:rPr>
        <w:t xml:space="preserve">or exposition </w:t>
      </w:r>
      <w:r w:rsidRPr="008B75D6">
        <w:rPr>
          <w:color w:val="auto"/>
          <w:u w:val="single"/>
        </w:rPr>
        <w:t>event has materially violated a federal, state, or local law.</w:t>
      </w:r>
    </w:p>
    <w:p w14:paraId="5BA5850A" w14:textId="058CAA25" w:rsidR="002A4121" w:rsidRPr="008B75D6" w:rsidRDefault="002A4121" w:rsidP="00F27D39">
      <w:pPr>
        <w:pStyle w:val="SectionBody"/>
        <w:rPr>
          <w:color w:val="auto"/>
          <w:u w:val="single"/>
        </w:rPr>
      </w:pPr>
      <w:r w:rsidRPr="008B75D6">
        <w:rPr>
          <w:color w:val="auto"/>
          <w:u w:val="single"/>
        </w:rPr>
        <w:t>(</w:t>
      </w:r>
      <w:r w:rsidR="00787DA9" w:rsidRPr="008B75D6">
        <w:rPr>
          <w:color w:val="auto"/>
          <w:u w:val="single"/>
        </w:rPr>
        <w:t>b</w:t>
      </w:r>
      <w:r w:rsidRPr="008B75D6">
        <w:rPr>
          <w:color w:val="auto"/>
          <w:u w:val="single"/>
        </w:rPr>
        <w:t xml:space="preserve">) No sports </w:t>
      </w:r>
      <w:r w:rsidR="00821166" w:rsidRPr="008B75D6">
        <w:rPr>
          <w:color w:val="auto"/>
          <w:u w:val="single"/>
        </w:rPr>
        <w:t xml:space="preserve">or exposition </w:t>
      </w:r>
      <w:r w:rsidRPr="008B75D6">
        <w:rPr>
          <w:color w:val="auto"/>
          <w:u w:val="single"/>
        </w:rPr>
        <w:t xml:space="preserve">venue operation within this state which has been in operation for a period of more than one year </w:t>
      </w:r>
      <w:r w:rsidR="000A2D51" w:rsidRPr="008B75D6">
        <w:rPr>
          <w:color w:val="auto"/>
          <w:u w:val="single"/>
        </w:rPr>
        <w:t>may</w:t>
      </w:r>
      <w:r w:rsidRPr="008B75D6">
        <w:rPr>
          <w:color w:val="auto"/>
          <w:u w:val="single"/>
        </w:rPr>
        <w:t xml:space="preserve"> be considered a nuisance, either public or private, as the result of a changed condition in or about the locality where the sports </w:t>
      </w:r>
      <w:r w:rsidR="00821166" w:rsidRPr="008B75D6">
        <w:rPr>
          <w:color w:val="auto"/>
          <w:u w:val="single"/>
        </w:rPr>
        <w:t xml:space="preserve">or exposition </w:t>
      </w:r>
      <w:r w:rsidRPr="008B75D6">
        <w:rPr>
          <w:color w:val="auto"/>
          <w:u w:val="single"/>
        </w:rPr>
        <w:t xml:space="preserve">venue operation is located. In any nuisance action, public or private, against a sports </w:t>
      </w:r>
      <w:r w:rsidR="00821166" w:rsidRPr="008B75D6">
        <w:rPr>
          <w:color w:val="auto"/>
          <w:u w:val="single"/>
        </w:rPr>
        <w:t xml:space="preserve">or exposition </w:t>
      </w:r>
      <w:r w:rsidRPr="008B75D6">
        <w:rPr>
          <w:color w:val="auto"/>
          <w:u w:val="single"/>
        </w:rPr>
        <w:t xml:space="preserve">venue operation or its principals or employees’ proof that the sports </w:t>
      </w:r>
      <w:r w:rsidR="00821166" w:rsidRPr="008B75D6">
        <w:rPr>
          <w:color w:val="auto"/>
          <w:u w:val="single"/>
        </w:rPr>
        <w:t xml:space="preserve">or exposition </w:t>
      </w:r>
      <w:r w:rsidRPr="008B75D6">
        <w:rPr>
          <w:color w:val="auto"/>
          <w:u w:val="single"/>
        </w:rPr>
        <w:t xml:space="preserve">venue operation has </w:t>
      </w:r>
      <w:r w:rsidRPr="008B75D6">
        <w:rPr>
          <w:color w:val="auto"/>
          <w:u w:val="single"/>
        </w:rPr>
        <w:lastRenderedPageBreak/>
        <w:t>existed for one year or more is an absolute defense to the nuisance action, if the operation is in compliance with all applicable state and local laws, regulations, and permits.</w:t>
      </w:r>
    </w:p>
    <w:p w14:paraId="77EDC897" w14:textId="53F1B5CE" w:rsidR="002A4121" w:rsidRPr="008B75D6" w:rsidRDefault="002A4121" w:rsidP="00F27D39">
      <w:pPr>
        <w:pStyle w:val="SectionBody"/>
        <w:rPr>
          <w:color w:val="auto"/>
          <w:u w:val="single"/>
        </w:rPr>
      </w:pPr>
      <w:r w:rsidRPr="008B75D6">
        <w:rPr>
          <w:color w:val="auto"/>
          <w:u w:val="single"/>
        </w:rPr>
        <w:t>(</w:t>
      </w:r>
      <w:r w:rsidR="00787DA9" w:rsidRPr="008B75D6">
        <w:rPr>
          <w:color w:val="auto"/>
          <w:u w:val="single"/>
        </w:rPr>
        <w:t>c</w:t>
      </w:r>
      <w:r w:rsidRPr="008B75D6">
        <w:rPr>
          <w:color w:val="auto"/>
          <w:u w:val="single"/>
        </w:rPr>
        <w:t xml:space="preserve">) No state or local agency may bring a criminal or civil action against </w:t>
      </w:r>
      <w:r w:rsidR="00E508F8" w:rsidRPr="008B75D6">
        <w:rPr>
          <w:color w:val="auto"/>
          <w:u w:val="single"/>
        </w:rPr>
        <w:t xml:space="preserve">a </w:t>
      </w:r>
      <w:r w:rsidRPr="008B75D6">
        <w:rPr>
          <w:color w:val="auto"/>
          <w:u w:val="single"/>
        </w:rPr>
        <w:t xml:space="preserve">sports </w:t>
      </w:r>
      <w:r w:rsidR="00821166" w:rsidRPr="008B75D6">
        <w:rPr>
          <w:color w:val="auto"/>
          <w:u w:val="single"/>
        </w:rPr>
        <w:t xml:space="preserve">or exposition </w:t>
      </w:r>
      <w:r w:rsidRPr="008B75D6">
        <w:rPr>
          <w:color w:val="auto"/>
          <w:u w:val="single"/>
        </w:rPr>
        <w:t>venue operation for an activity that is in material compliance with all applicable state and local laws, regulations, and permits.</w:t>
      </w:r>
    </w:p>
    <w:p w14:paraId="783541A3" w14:textId="4B5F7891" w:rsidR="002A4121" w:rsidRPr="008B75D6" w:rsidRDefault="002A4121" w:rsidP="00F27D39">
      <w:pPr>
        <w:pStyle w:val="SectionBody"/>
        <w:rPr>
          <w:color w:val="auto"/>
          <w:u w:val="single"/>
        </w:rPr>
      </w:pPr>
      <w:r w:rsidRPr="008B75D6">
        <w:rPr>
          <w:color w:val="auto"/>
          <w:u w:val="single"/>
        </w:rPr>
        <w:t>(</w:t>
      </w:r>
      <w:r w:rsidR="00787DA9" w:rsidRPr="008B75D6">
        <w:rPr>
          <w:color w:val="auto"/>
          <w:u w:val="single"/>
        </w:rPr>
        <w:t>d</w:t>
      </w:r>
      <w:r w:rsidRPr="008B75D6">
        <w:rPr>
          <w:color w:val="auto"/>
          <w:u w:val="single"/>
        </w:rPr>
        <w:t xml:space="preserve">) No sports </w:t>
      </w:r>
      <w:r w:rsidR="00821166" w:rsidRPr="008B75D6">
        <w:rPr>
          <w:color w:val="auto"/>
          <w:u w:val="single"/>
        </w:rPr>
        <w:t xml:space="preserve">or exposition </w:t>
      </w:r>
      <w:r w:rsidRPr="008B75D6">
        <w:rPr>
          <w:color w:val="auto"/>
          <w:u w:val="single"/>
        </w:rPr>
        <w:t xml:space="preserve">venue operation may be or become a private or public nuisance if the operators are conducting the sports </w:t>
      </w:r>
      <w:r w:rsidR="00821166" w:rsidRPr="008B75D6">
        <w:rPr>
          <w:color w:val="auto"/>
          <w:u w:val="single"/>
        </w:rPr>
        <w:t xml:space="preserve">or exposition </w:t>
      </w:r>
      <w:r w:rsidRPr="008B75D6">
        <w:rPr>
          <w:color w:val="auto"/>
          <w:u w:val="single"/>
        </w:rPr>
        <w:t xml:space="preserve">venue operation in a manner consistent with commonly accepted practice. If the operation is in material compliance with all applicable state and local laws, regulations, and permits, it shall be presumed to be conducted in a manner consistent with commonly accepted sports </w:t>
      </w:r>
      <w:r w:rsidR="00821166" w:rsidRPr="008B75D6">
        <w:rPr>
          <w:color w:val="auto"/>
          <w:u w:val="single"/>
        </w:rPr>
        <w:t xml:space="preserve">or exposition </w:t>
      </w:r>
      <w:r w:rsidRPr="008B75D6">
        <w:rPr>
          <w:color w:val="auto"/>
          <w:u w:val="single"/>
        </w:rPr>
        <w:t>venue operation</w:t>
      </w:r>
      <w:r w:rsidR="00E508F8" w:rsidRPr="008B75D6">
        <w:rPr>
          <w:color w:val="auto"/>
          <w:u w:val="single"/>
        </w:rPr>
        <w:t>s</w:t>
      </w:r>
      <w:r w:rsidRPr="008B75D6">
        <w:rPr>
          <w:color w:val="auto"/>
          <w:u w:val="single"/>
        </w:rPr>
        <w:t>.</w:t>
      </w:r>
    </w:p>
    <w:p w14:paraId="2E2402ED" w14:textId="4CFF363E" w:rsidR="002A4121" w:rsidRPr="008B75D6" w:rsidRDefault="002A4121" w:rsidP="00F27D39">
      <w:pPr>
        <w:pStyle w:val="SectionBody"/>
        <w:rPr>
          <w:color w:val="auto"/>
          <w:u w:val="single"/>
        </w:rPr>
      </w:pPr>
      <w:r w:rsidRPr="008B75D6">
        <w:rPr>
          <w:color w:val="auto"/>
          <w:u w:val="single"/>
        </w:rPr>
        <w:t>(</w:t>
      </w:r>
      <w:r w:rsidR="00787DA9" w:rsidRPr="008B75D6">
        <w:rPr>
          <w:color w:val="auto"/>
          <w:u w:val="single"/>
        </w:rPr>
        <w:t>e</w:t>
      </w:r>
      <w:r w:rsidRPr="008B75D6">
        <w:rPr>
          <w:color w:val="auto"/>
          <w:u w:val="single"/>
        </w:rPr>
        <w:t xml:space="preserve">) No sports </w:t>
      </w:r>
      <w:r w:rsidR="00821166" w:rsidRPr="008B75D6">
        <w:rPr>
          <w:color w:val="auto"/>
          <w:u w:val="single"/>
        </w:rPr>
        <w:t xml:space="preserve">or exposition </w:t>
      </w:r>
      <w:r w:rsidRPr="008B75D6">
        <w:rPr>
          <w:color w:val="auto"/>
          <w:u w:val="single"/>
        </w:rPr>
        <w:t xml:space="preserve">venue operation </w:t>
      </w:r>
      <w:r w:rsidR="000A2D51" w:rsidRPr="008B75D6">
        <w:rPr>
          <w:color w:val="auto"/>
          <w:u w:val="single"/>
        </w:rPr>
        <w:t>may</w:t>
      </w:r>
      <w:r w:rsidRPr="008B75D6">
        <w:rPr>
          <w:color w:val="auto"/>
          <w:u w:val="single"/>
        </w:rPr>
        <w:t xml:space="preserve"> be considered a nuisance, private or public, if the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 xml:space="preserve">venue operation </w:t>
      </w:r>
      <w:r w:rsidRPr="008B75D6">
        <w:rPr>
          <w:color w:val="auto"/>
          <w:u w:val="single"/>
        </w:rPr>
        <w:t>makes a reasonable expansion, so long as the operation is in material compliance with all applicable state and federal laws, regulations, and permits.</w:t>
      </w:r>
    </w:p>
    <w:p w14:paraId="3691098D" w14:textId="77777777" w:rsidR="002A4121" w:rsidRPr="008B75D6" w:rsidRDefault="002A4121" w:rsidP="00F27D39">
      <w:pPr>
        <w:pStyle w:val="SectionBody"/>
        <w:rPr>
          <w:color w:val="auto"/>
          <w:u w:val="single"/>
        </w:rPr>
      </w:pPr>
      <w:r w:rsidRPr="008B75D6">
        <w:rPr>
          <w:color w:val="auto"/>
          <w:u w:val="single"/>
        </w:rPr>
        <w:t>(1) For the purpose of this section, a reasonable expansion includes, but is not limited to:</w:t>
      </w:r>
    </w:p>
    <w:p w14:paraId="75283CB0" w14:textId="377EB3BD" w:rsidR="002A4121" w:rsidRPr="008B75D6" w:rsidRDefault="002A4121" w:rsidP="00F27D39">
      <w:pPr>
        <w:pStyle w:val="SectionBody"/>
        <w:rPr>
          <w:color w:val="auto"/>
          <w:u w:val="single"/>
        </w:rPr>
      </w:pPr>
      <w:r w:rsidRPr="008B75D6">
        <w:rPr>
          <w:color w:val="auto"/>
          <w:u w:val="single"/>
        </w:rPr>
        <w:t xml:space="preserve">(A) Transfer of the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 operation</w:t>
      </w:r>
      <w:r w:rsidRPr="008B75D6">
        <w:rPr>
          <w:color w:val="auto"/>
          <w:u w:val="single"/>
        </w:rPr>
        <w:t>;</w:t>
      </w:r>
    </w:p>
    <w:p w14:paraId="23AD1D4E" w14:textId="60182266" w:rsidR="002A4121" w:rsidRPr="008B75D6" w:rsidRDefault="002A4121" w:rsidP="00F27D39">
      <w:pPr>
        <w:pStyle w:val="SectionBody"/>
        <w:rPr>
          <w:color w:val="auto"/>
          <w:u w:val="single"/>
        </w:rPr>
      </w:pPr>
      <w:r w:rsidRPr="008B75D6">
        <w:rPr>
          <w:color w:val="auto"/>
          <w:u w:val="single"/>
        </w:rPr>
        <w:t xml:space="preserve">(B) Purchase of additional land for the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 operation</w:t>
      </w:r>
      <w:r w:rsidRPr="008B75D6">
        <w:rPr>
          <w:color w:val="auto"/>
          <w:u w:val="single"/>
        </w:rPr>
        <w:t>;</w:t>
      </w:r>
    </w:p>
    <w:p w14:paraId="0ACBC2AA" w14:textId="48881029" w:rsidR="002A4121" w:rsidRPr="008B75D6" w:rsidRDefault="002A4121" w:rsidP="00F27D39">
      <w:pPr>
        <w:pStyle w:val="SectionBody"/>
        <w:rPr>
          <w:color w:val="auto"/>
          <w:u w:val="single"/>
        </w:rPr>
      </w:pPr>
      <w:r w:rsidRPr="008B75D6">
        <w:rPr>
          <w:color w:val="auto"/>
          <w:u w:val="single"/>
        </w:rPr>
        <w:t xml:space="preserve">(C) Introducing technology to an existing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 operation</w:t>
      </w:r>
      <w:r w:rsidRPr="008B75D6">
        <w:rPr>
          <w:color w:val="auto"/>
          <w:u w:val="single"/>
        </w:rPr>
        <w:t xml:space="preserve"> including, but not limited to, new activities, practices, equipment, and procedures consistent with technological development within the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w:t>
      </w:r>
      <w:r w:rsidRPr="008B75D6">
        <w:rPr>
          <w:color w:val="auto"/>
          <w:u w:val="single"/>
        </w:rPr>
        <w:t xml:space="preserve"> industry; or</w:t>
      </w:r>
    </w:p>
    <w:p w14:paraId="45F79A0C" w14:textId="1EAD092A" w:rsidR="002A4121" w:rsidRPr="008B75D6" w:rsidRDefault="002A4121" w:rsidP="00F27D39">
      <w:pPr>
        <w:pStyle w:val="SectionBody"/>
        <w:rPr>
          <w:color w:val="auto"/>
          <w:u w:val="single"/>
        </w:rPr>
      </w:pPr>
      <w:r w:rsidRPr="008B75D6">
        <w:rPr>
          <w:color w:val="auto"/>
          <w:u w:val="single"/>
        </w:rPr>
        <w:t>(</w:t>
      </w:r>
      <w:r w:rsidR="00AC1087" w:rsidRPr="008B75D6">
        <w:rPr>
          <w:color w:val="auto"/>
          <w:u w:val="single"/>
        </w:rPr>
        <w:t>D</w:t>
      </w:r>
      <w:r w:rsidRPr="008B75D6">
        <w:rPr>
          <w:color w:val="auto"/>
          <w:u w:val="single"/>
        </w:rPr>
        <w:t xml:space="preserve">) Any other change that is related and applied to an existing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w:t>
      </w:r>
      <w:r w:rsidRPr="008B75D6">
        <w:rPr>
          <w:color w:val="auto"/>
          <w:u w:val="single"/>
        </w:rPr>
        <w:t xml:space="preserve"> operation, so long as the change does not affect the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 xml:space="preserve">venue </w:t>
      </w:r>
      <w:r w:rsidRPr="008B75D6">
        <w:rPr>
          <w:color w:val="auto"/>
          <w:u w:val="single"/>
        </w:rPr>
        <w:t>operation’s compliance with applicable state and federal laws, regulations, and permits.</w:t>
      </w:r>
    </w:p>
    <w:p w14:paraId="46DD913B" w14:textId="77777777" w:rsidR="002A4121" w:rsidRPr="008B75D6" w:rsidRDefault="002A4121" w:rsidP="00F27D39">
      <w:pPr>
        <w:pStyle w:val="SectionBody"/>
        <w:rPr>
          <w:color w:val="auto"/>
          <w:u w:val="single"/>
        </w:rPr>
      </w:pPr>
      <w:r w:rsidRPr="008B75D6">
        <w:rPr>
          <w:color w:val="auto"/>
          <w:u w:val="single"/>
        </w:rPr>
        <w:t>(2) The reasonable expansion exemption provided by this subsection cannot apply to an expansion that:</w:t>
      </w:r>
    </w:p>
    <w:p w14:paraId="3D195A3A" w14:textId="77777777" w:rsidR="002A4121" w:rsidRPr="008B75D6" w:rsidRDefault="002A4121" w:rsidP="00F27D39">
      <w:pPr>
        <w:pStyle w:val="SectionBody"/>
        <w:rPr>
          <w:color w:val="auto"/>
          <w:u w:val="single"/>
        </w:rPr>
      </w:pPr>
      <w:r w:rsidRPr="008B75D6">
        <w:rPr>
          <w:color w:val="auto"/>
          <w:u w:val="single"/>
        </w:rPr>
        <w:t>(A) Creates a substantially adverse effect upon the environment; or</w:t>
      </w:r>
    </w:p>
    <w:p w14:paraId="10A73C17" w14:textId="77777777" w:rsidR="002A4121" w:rsidRPr="008B75D6" w:rsidRDefault="002A4121" w:rsidP="00F27D39">
      <w:pPr>
        <w:pStyle w:val="SectionBody"/>
        <w:rPr>
          <w:color w:val="auto"/>
          <w:u w:val="single"/>
        </w:rPr>
      </w:pPr>
      <w:r w:rsidRPr="008B75D6">
        <w:rPr>
          <w:color w:val="auto"/>
          <w:u w:val="single"/>
        </w:rPr>
        <w:lastRenderedPageBreak/>
        <w:t>(B) Creates a hazard to public health and safety.</w:t>
      </w:r>
    </w:p>
    <w:p w14:paraId="7AB8E9BC" w14:textId="398579EE" w:rsidR="002A4121" w:rsidRPr="008B75D6" w:rsidRDefault="002A4121" w:rsidP="00F27D39">
      <w:pPr>
        <w:pStyle w:val="SectionBody"/>
        <w:rPr>
          <w:color w:val="auto"/>
          <w:u w:val="single"/>
        </w:rPr>
      </w:pPr>
      <w:r w:rsidRPr="008B75D6">
        <w:rPr>
          <w:color w:val="auto"/>
          <w:u w:val="single"/>
        </w:rPr>
        <w:t>(</w:t>
      </w:r>
      <w:r w:rsidR="005B6668" w:rsidRPr="008B75D6">
        <w:rPr>
          <w:color w:val="auto"/>
          <w:u w:val="single"/>
        </w:rPr>
        <w:t>f</w:t>
      </w:r>
      <w:r w:rsidRPr="008B75D6">
        <w:rPr>
          <w:color w:val="auto"/>
          <w:u w:val="single"/>
        </w:rPr>
        <w:t xml:space="preserve">) If a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w:t>
      </w:r>
      <w:r w:rsidRPr="008B75D6">
        <w:rPr>
          <w:color w:val="auto"/>
          <w:u w:val="single"/>
        </w:rPr>
        <w:t xml:space="preserve"> operation situated outside of a municipality’s corporate boundaries is subsequently annexed or otherwise brought within the municipality’s corporate boundaries of a municipality, the requirements of the municipality do not apply to the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w:t>
      </w:r>
      <w:r w:rsidRPr="008B75D6">
        <w:rPr>
          <w:color w:val="auto"/>
          <w:u w:val="single"/>
        </w:rPr>
        <w:t xml:space="preserve"> operation.</w:t>
      </w:r>
    </w:p>
    <w:p w14:paraId="22EBD805" w14:textId="588A3055" w:rsidR="002A4121" w:rsidRPr="008B75D6" w:rsidRDefault="002A4121" w:rsidP="00F27D39">
      <w:pPr>
        <w:pStyle w:val="SectionBody"/>
        <w:rPr>
          <w:color w:val="auto"/>
          <w:u w:val="single"/>
        </w:rPr>
      </w:pPr>
      <w:r w:rsidRPr="008B75D6">
        <w:rPr>
          <w:color w:val="auto"/>
          <w:u w:val="single"/>
        </w:rPr>
        <w:t>(</w:t>
      </w:r>
      <w:r w:rsidR="005B6668" w:rsidRPr="008B75D6">
        <w:rPr>
          <w:color w:val="auto"/>
          <w:u w:val="single"/>
        </w:rPr>
        <w:t>g</w:t>
      </w:r>
      <w:r w:rsidRPr="008B75D6">
        <w:rPr>
          <w:color w:val="auto"/>
          <w:u w:val="single"/>
        </w:rPr>
        <w:t xml:space="preserve">) A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w:t>
      </w:r>
      <w:r w:rsidRPr="008B75D6">
        <w:rPr>
          <w:color w:val="auto"/>
          <w:u w:val="single"/>
        </w:rPr>
        <w:t xml:space="preserve"> operation is not, nor </w:t>
      </w:r>
      <w:r w:rsidR="000A2D51" w:rsidRPr="008B75D6">
        <w:rPr>
          <w:color w:val="auto"/>
          <w:u w:val="single"/>
        </w:rPr>
        <w:t>may</w:t>
      </w:r>
      <w:r w:rsidRPr="008B75D6">
        <w:rPr>
          <w:color w:val="auto"/>
          <w:u w:val="single"/>
        </w:rPr>
        <w:t xml:space="preserve"> it become, a private or public nuisance after it has been in operation for more than one year, if </w:t>
      </w:r>
      <w:r w:rsidR="00AC1087" w:rsidRPr="008B75D6">
        <w:rPr>
          <w:color w:val="auto"/>
          <w:u w:val="single"/>
        </w:rPr>
        <w:t>the</w:t>
      </w:r>
      <w:r w:rsidRPr="008B75D6">
        <w:rPr>
          <w:color w:val="auto"/>
          <w:u w:val="single"/>
        </w:rPr>
        <w:t xml:space="preserve"> operation was not a nuisance at the time the operation began, and the conditions or circumstances complained of as constituting the basis for the nuisance action exist substantially unchanged since the established date of operation. The established date of operation is the date on which a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w:t>
      </w:r>
      <w:r w:rsidRPr="008B75D6">
        <w:rPr>
          <w:color w:val="auto"/>
          <w:u w:val="single"/>
        </w:rPr>
        <w:t xml:space="preserve"> operation commenced.</w:t>
      </w:r>
    </w:p>
    <w:p w14:paraId="4CCB0212" w14:textId="0F8F2260" w:rsidR="002A4121" w:rsidRPr="008B75D6" w:rsidRDefault="002A4121" w:rsidP="00F27D39">
      <w:pPr>
        <w:pStyle w:val="SectionBody"/>
        <w:rPr>
          <w:color w:val="auto"/>
          <w:u w:val="single"/>
        </w:rPr>
      </w:pPr>
      <w:r w:rsidRPr="008B75D6">
        <w:rPr>
          <w:color w:val="auto"/>
          <w:u w:val="single"/>
        </w:rPr>
        <w:t>(</w:t>
      </w:r>
      <w:r w:rsidR="005B6668" w:rsidRPr="008B75D6">
        <w:rPr>
          <w:color w:val="auto"/>
          <w:u w:val="single"/>
        </w:rPr>
        <w:t>h</w:t>
      </w:r>
      <w:r w:rsidRPr="008B75D6">
        <w:rPr>
          <w:color w:val="auto"/>
          <w:u w:val="single"/>
        </w:rPr>
        <w:t xml:space="preserve">) The provisions of this section </w:t>
      </w:r>
      <w:r w:rsidR="00AC1087" w:rsidRPr="008B75D6">
        <w:rPr>
          <w:color w:val="auto"/>
          <w:u w:val="single"/>
        </w:rPr>
        <w:t>may</w:t>
      </w:r>
      <w:r w:rsidRPr="008B75D6">
        <w:rPr>
          <w:color w:val="auto"/>
          <w:u w:val="single"/>
        </w:rPr>
        <w:t xml:space="preserve"> not apply in any of the following circumstances:</w:t>
      </w:r>
    </w:p>
    <w:p w14:paraId="231B469B" w14:textId="21C90133" w:rsidR="002A4121" w:rsidRPr="008B75D6" w:rsidRDefault="002A4121" w:rsidP="00F27D39">
      <w:pPr>
        <w:pStyle w:val="SectionBody"/>
        <w:rPr>
          <w:color w:val="auto"/>
          <w:u w:val="single"/>
        </w:rPr>
      </w:pPr>
      <w:r w:rsidRPr="008B75D6">
        <w:rPr>
          <w:color w:val="auto"/>
          <w:u w:val="single"/>
        </w:rPr>
        <w:t xml:space="preserve">(1) Whenever a nuisance results from the negligent operation of any such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w:t>
      </w:r>
      <w:r w:rsidRPr="008B75D6">
        <w:rPr>
          <w:color w:val="auto"/>
          <w:u w:val="single"/>
        </w:rPr>
        <w:t xml:space="preserve"> operation; or</w:t>
      </w:r>
    </w:p>
    <w:p w14:paraId="68706885" w14:textId="102FFC02" w:rsidR="002A4121" w:rsidRPr="008B75D6" w:rsidRDefault="002A4121" w:rsidP="00F27D39">
      <w:pPr>
        <w:pStyle w:val="SectionBody"/>
        <w:rPr>
          <w:color w:val="auto"/>
          <w:u w:val="single"/>
        </w:rPr>
      </w:pPr>
      <w:r w:rsidRPr="008B75D6">
        <w:rPr>
          <w:color w:val="auto"/>
          <w:u w:val="single"/>
        </w:rPr>
        <w:t xml:space="preserve">(2) To affect or defeat the right of any person to recover for injuries or damages sustained because of a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w:t>
      </w:r>
      <w:r w:rsidRPr="008B75D6">
        <w:rPr>
          <w:color w:val="auto"/>
          <w:u w:val="single"/>
        </w:rPr>
        <w:t xml:space="preserve"> operation or portion of a </w:t>
      </w:r>
      <w:r w:rsidR="00AC1087" w:rsidRPr="008B75D6">
        <w:rPr>
          <w:color w:val="auto"/>
          <w:u w:val="single"/>
        </w:rPr>
        <w:t>sports venue</w:t>
      </w:r>
      <w:r w:rsidRPr="008B75D6">
        <w:rPr>
          <w:color w:val="auto"/>
          <w:u w:val="single"/>
        </w:rPr>
        <w:t xml:space="preserve"> operation that is conducted in violation of a federal, state, or local statute, regulation, ordinance, or governmental requirement that applies to the </w:t>
      </w:r>
      <w:r w:rsidR="00AC1087" w:rsidRPr="008B75D6">
        <w:rPr>
          <w:color w:val="auto"/>
          <w:u w:val="single"/>
        </w:rPr>
        <w:t xml:space="preserve">motor sports </w:t>
      </w:r>
      <w:r w:rsidR="00821166" w:rsidRPr="008B75D6">
        <w:rPr>
          <w:color w:val="auto"/>
          <w:u w:val="single"/>
        </w:rPr>
        <w:t xml:space="preserve">or exposition </w:t>
      </w:r>
      <w:r w:rsidR="00AC1087" w:rsidRPr="008B75D6">
        <w:rPr>
          <w:color w:val="auto"/>
          <w:u w:val="single"/>
        </w:rPr>
        <w:t>venue</w:t>
      </w:r>
      <w:r w:rsidRPr="008B75D6">
        <w:rPr>
          <w:color w:val="auto"/>
          <w:u w:val="single"/>
        </w:rPr>
        <w:t xml:space="preserve"> operation.</w:t>
      </w:r>
    </w:p>
    <w:p w14:paraId="3B66A9B5" w14:textId="2ADD5471" w:rsidR="002A4121" w:rsidRPr="008B75D6" w:rsidRDefault="002A4121" w:rsidP="00F27D39">
      <w:pPr>
        <w:pStyle w:val="SectionBody"/>
        <w:rPr>
          <w:color w:val="auto"/>
          <w:u w:val="single"/>
        </w:rPr>
      </w:pPr>
      <w:r w:rsidRPr="008B75D6">
        <w:rPr>
          <w:color w:val="auto"/>
          <w:u w:val="single"/>
        </w:rPr>
        <w:t>(</w:t>
      </w:r>
      <w:r w:rsidR="005B6668" w:rsidRPr="008B75D6">
        <w:rPr>
          <w:color w:val="auto"/>
          <w:u w:val="single"/>
        </w:rPr>
        <w:t>i</w:t>
      </w:r>
      <w:r w:rsidRPr="008B75D6">
        <w:rPr>
          <w:color w:val="auto"/>
          <w:u w:val="single"/>
        </w:rPr>
        <w:t xml:space="preserve">) The protected status of a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w:t>
      </w:r>
      <w:r w:rsidRPr="008B75D6">
        <w:rPr>
          <w:color w:val="auto"/>
          <w:u w:val="single"/>
        </w:rPr>
        <w:t xml:space="preserve"> operation, once acquired, is assignable, alienable, and inheritable. The protected status of a </w:t>
      </w:r>
      <w:r w:rsidR="00AC1087" w:rsidRPr="008B75D6">
        <w:rPr>
          <w:color w:val="auto"/>
          <w:u w:val="single"/>
        </w:rPr>
        <w:t xml:space="preserve">sports </w:t>
      </w:r>
      <w:r w:rsidR="00821166" w:rsidRPr="008B75D6">
        <w:rPr>
          <w:color w:val="auto"/>
          <w:u w:val="single"/>
        </w:rPr>
        <w:t xml:space="preserve">or exposition </w:t>
      </w:r>
      <w:r w:rsidR="00AC1087" w:rsidRPr="008B75D6">
        <w:rPr>
          <w:color w:val="auto"/>
          <w:u w:val="single"/>
        </w:rPr>
        <w:t>venue</w:t>
      </w:r>
      <w:r w:rsidRPr="008B75D6">
        <w:rPr>
          <w:color w:val="auto"/>
          <w:u w:val="single"/>
        </w:rPr>
        <w:t xml:space="preserve"> operation, once acquired, may not be waived by the temporary cessation of operations or by diminishing the size of the operation.</w:t>
      </w:r>
    </w:p>
    <w:p w14:paraId="71BEABB1" w14:textId="77777777" w:rsidR="00C33014" w:rsidRPr="008B75D6" w:rsidRDefault="00C33014" w:rsidP="00F35C12">
      <w:pPr>
        <w:pStyle w:val="Note"/>
        <w:rPr>
          <w:color w:val="auto"/>
        </w:rPr>
      </w:pPr>
    </w:p>
    <w:p w14:paraId="3ACDA20F" w14:textId="2E0E802A" w:rsidR="006865E9" w:rsidRPr="008B75D6" w:rsidRDefault="00CF1DCA" w:rsidP="00F35C12">
      <w:pPr>
        <w:pStyle w:val="Note"/>
        <w:rPr>
          <w:color w:val="auto"/>
        </w:rPr>
      </w:pPr>
      <w:r w:rsidRPr="008B75D6">
        <w:rPr>
          <w:color w:val="auto"/>
        </w:rPr>
        <w:t>NOTE: The</w:t>
      </w:r>
      <w:r w:rsidR="006865E9" w:rsidRPr="008B75D6">
        <w:rPr>
          <w:color w:val="auto"/>
        </w:rPr>
        <w:t xml:space="preserve"> purpose of this bill is to </w:t>
      </w:r>
      <w:r w:rsidR="002C084D" w:rsidRPr="008B75D6">
        <w:rPr>
          <w:color w:val="auto"/>
        </w:rPr>
        <w:t xml:space="preserve">deny a nuisance action for damages against a sports </w:t>
      </w:r>
      <w:r w:rsidR="00821166" w:rsidRPr="008B75D6">
        <w:rPr>
          <w:color w:val="auto"/>
        </w:rPr>
        <w:t xml:space="preserve">or exposition </w:t>
      </w:r>
      <w:r w:rsidR="002C084D" w:rsidRPr="008B75D6">
        <w:rPr>
          <w:color w:val="auto"/>
        </w:rPr>
        <w:t>venue operation. The bill provides exceptions to denial</w:t>
      </w:r>
      <w:r w:rsidR="006865E9" w:rsidRPr="008B75D6">
        <w:rPr>
          <w:color w:val="auto"/>
        </w:rPr>
        <w:t>.</w:t>
      </w:r>
    </w:p>
    <w:p w14:paraId="7DCEDD8E" w14:textId="1680BECB" w:rsidR="006865E9" w:rsidRPr="008B75D6" w:rsidRDefault="00AE48A0" w:rsidP="00F35C12">
      <w:pPr>
        <w:pStyle w:val="Note"/>
        <w:rPr>
          <w:color w:val="auto"/>
        </w:rPr>
      </w:pPr>
      <w:r w:rsidRPr="008B75D6">
        <w:rPr>
          <w:color w:val="auto"/>
        </w:rPr>
        <w:t>Strike-throughs indicate language that would be stricken from a heading or the present law</w:t>
      </w:r>
      <w:r w:rsidR="0009796C" w:rsidRPr="008B75D6">
        <w:rPr>
          <w:color w:val="auto"/>
        </w:rPr>
        <w:t>,</w:t>
      </w:r>
      <w:r w:rsidRPr="008B75D6">
        <w:rPr>
          <w:color w:val="auto"/>
        </w:rPr>
        <w:t xml:space="preserve"> and underscoring indicates new language that would be added.</w:t>
      </w:r>
    </w:p>
    <w:sectPr w:rsidR="006865E9" w:rsidRPr="008B75D6" w:rsidSect="00D314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7D62" w14:textId="77777777" w:rsidR="006011AD" w:rsidRPr="00B844FE" w:rsidRDefault="006011AD" w:rsidP="00B844FE">
      <w:r>
        <w:separator/>
      </w:r>
    </w:p>
  </w:endnote>
  <w:endnote w:type="continuationSeparator" w:id="0">
    <w:p w14:paraId="06D4B543" w14:textId="77777777" w:rsidR="006011AD" w:rsidRPr="00B844FE" w:rsidRDefault="006011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C855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97E2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447AF1"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9510" w14:textId="77777777" w:rsidR="006011AD" w:rsidRPr="00B844FE" w:rsidRDefault="006011AD" w:rsidP="00B844FE">
      <w:r>
        <w:separator/>
      </w:r>
    </w:p>
  </w:footnote>
  <w:footnote w:type="continuationSeparator" w:id="0">
    <w:p w14:paraId="3AD4F13E" w14:textId="77777777" w:rsidR="006011AD" w:rsidRPr="00B844FE" w:rsidRDefault="006011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5DA5" w14:textId="77777777" w:rsidR="002A0269" w:rsidRPr="00B844FE" w:rsidRDefault="008E50D3">
    <w:pPr>
      <w:pStyle w:val="Header"/>
    </w:pPr>
    <w:sdt>
      <w:sdtPr>
        <w:id w:val="-684364211"/>
        <w:placeholder>
          <w:docPart w:val="5205E26E3A794E4EBB483F03056CBCF5"/>
        </w:placeholder>
        <w:temporary/>
        <w:showingPlcHdr/>
        <w15:appearance w15:val="hidden"/>
      </w:sdtPr>
      <w:sdtEndPr/>
      <w:sdtContent>
        <w:r w:rsidR="00AE7C3E" w:rsidRPr="00B844FE">
          <w:t>[Type here]</w:t>
        </w:r>
      </w:sdtContent>
    </w:sdt>
    <w:r w:rsidR="002A0269" w:rsidRPr="00B844FE">
      <w:ptab w:relativeTo="margin" w:alignment="left" w:leader="none"/>
    </w:r>
    <w:sdt>
      <w:sdtPr>
        <w:id w:val="-556240388"/>
        <w:placeholder>
          <w:docPart w:val="5205E26E3A794E4EBB483F03056CBCF5"/>
        </w:placeholder>
        <w:temporary/>
        <w:showingPlcHdr/>
        <w15:appearance w15:val="hidden"/>
      </w:sdtPr>
      <w:sdtEndPr/>
      <w:sdtContent>
        <w:r w:rsidR="00AE7C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6E41" w14:textId="40FD7C6E" w:rsidR="00E831B3" w:rsidRPr="008C4888" w:rsidRDefault="008C4888" w:rsidP="008C4888">
    <w:pPr>
      <w:pStyle w:val="Header"/>
    </w:pPr>
    <w:r w:rsidRPr="00686E9A">
      <w:t xml:space="preserve">Intr </w:t>
    </w:r>
    <w:sdt>
      <w:sdtPr>
        <w:tag w:val="BNumWH"/>
        <w:id w:val="138549797"/>
        <w:showingPlcHdr/>
        <w:text/>
      </w:sdtPr>
      <w:sdtEndPr/>
      <w:sdtContent/>
    </w:sdt>
    <w:r w:rsidR="006011AD">
      <w:t>SB</w:t>
    </w:r>
    <w:r w:rsidR="00CE6FAD">
      <w:t xml:space="preserve"> 602</w:t>
    </w:r>
    <w:r w:rsidRPr="00686E9A">
      <w:ptab w:relativeTo="margin" w:alignment="center" w:leader="none"/>
    </w:r>
    <w:r w:rsidRPr="00686E9A">
      <w:tab/>
    </w:r>
    <w:sdt>
      <w:sdtPr>
        <w:alias w:val="CBD Number"/>
        <w:tag w:val="CBD Number"/>
        <w:id w:val="1176923086"/>
        <w:text/>
      </w:sdtPr>
      <w:sdtEndPr/>
      <w:sdtContent>
        <w:r>
          <w:t>2022R</w:t>
        </w:r>
      </w:sdtContent>
    </w:sdt>
    <w:r w:rsidR="001E35C4">
      <w:t>2427</w:t>
    </w:r>
    <w:r w:rsidR="00D31422">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AD"/>
    <w:rsid w:val="0000526A"/>
    <w:rsid w:val="00083A4B"/>
    <w:rsid w:val="00085D22"/>
    <w:rsid w:val="0009796C"/>
    <w:rsid w:val="000A2D51"/>
    <w:rsid w:val="000C5C77"/>
    <w:rsid w:val="000D16AD"/>
    <w:rsid w:val="0010070F"/>
    <w:rsid w:val="0015112E"/>
    <w:rsid w:val="001552E7"/>
    <w:rsid w:val="001566B4"/>
    <w:rsid w:val="00181DEF"/>
    <w:rsid w:val="001C279E"/>
    <w:rsid w:val="001D459E"/>
    <w:rsid w:val="001E35C4"/>
    <w:rsid w:val="0027011C"/>
    <w:rsid w:val="00274200"/>
    <w:rsid w:val="00275740"/>
    <w:rsid w:val="0029335D"/>
    <w:rsid w:val="002960B3"/>
    <w:rsid w:val="002A0269"/>
    <w:rsid w:val="002A4121"/>
    <w:rsid w:val="002C084D"/>
    <w:rsid w:val="00302A28"/>
    <w:rsid w:val="00303684"/>
    <w:rsid w:val="00312F29"/>
    <w:rsid w:val="003143F5"/>
    <w:rsid w:val="00314854"/>
    <w:rsid w:val="00375F81"/>
    <w:rsid w:val="00376062"/>
    <w:rsid w:val="003C51CD"/>
    <w:rsid w:val="003F43AE"/>
    <w:rsid w:val="004247A2"/>
    <w:rsid w:val="0042727E"/>
    <w:rsid w:val="00470D6E"/>
    <w:rsid w:val="004B2795"/>
    <w:rsid w:val="004C13DD"/>
    <w:rsid w:val="004E3441"/>
    <w:rsid w:val="004E5937"/>
    <w:rsid w:val="004F2845"/>
    <w:rsid w:val="004F3DF6"/>
    <w:rsid w:val="00522CDB"/>
    <w:rsid w:val="00551C13"/>
    <w:rsid w:val="005A5366"/>
    <w:rsid w:val="005B6668"/>
    <w:rsid w:val="006011AD"/>
    <w:rsid w:val="00637E73"/>
    <w:rsid w:val="00642200"/>
    <w:rsid w:val="006865E9"/>
    <w:rsid w:val="00691F3E"/>
    <w:rsid w:val="00694BFB"/>
    <w:rsid w:val="006A106B"/>
    <w:rsid w:val="006C523D"/>
    <w:rsid w:val="006D4036"/>
    <w:rsid w:val="006F3704"/>
    <w:rsid w:val="00704CB3"/>
    <w:rsid w:val="00744C7F"/>
    <w:rsid w:val="00787DA9"/>
    <w:rsid w:val="007C2B4B"/>
    <w:rsid w:val="007E02CF"/>
    <w:rsid w:val="007F1CF5"/>
    <w:rsid w:val="00821166"/>
    <w:rsid w:val="00834EDE"/>
    <w:rsid w:val="00852A8E"/>
    <w:rsid w:val="00864372"/>
    <w:rsid w:val="008736AA"/>
    <w:rsid w:val="00894E6D"/>
    <w:rsid w:val="008B75D6"/>
    <w:rsid w:val="008C4888"/>
    <w:rsid w:val="008D275D"/>
    <w:rsid w:val="008E50D3"/>
    <w:rsid w:val="008F7DFE"/>
    <w:rsid w:val="00974998"/>
    <w:rsid w:val="00974F15"/>
    <w:rsid w:val="00980327"/>
    <w:rsid w:val="009F1067"/>
    <w:rsid w:val="00A00FB0"/>
    <w:rsid w:val="00A31E01"/>
    <w:rsid w:val="00A527AD"/>
    <w:rsid w:val="00A56F52"/>
    <w:rsid w:val="00A718CF"/>
    <w:rsid w:val="00A760BE"/>
    <w:rsid w:val="00AC1087"/>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8C3"/>
    <w:rsid w:val="00C85096"/>
    <w:rsid w:val="00C942E6"/>
    <w:rsid w:val="00CB20EF"/>
    <w:rsid w:val="00CD12CB"/>
    <w:rsid w:val="00CD36CF"/>
    <w:rsid w:val="00CE6FAD"/>
    <w:rsid w:val="00CF1DCA"/>
    <w:rsid w:val="00D02224"/>
    <w:rsid w:val="00D31422"/>
    <w:rsid w:val="00D579FC"/>
    <w:rsid w:val="00DE4BE5"/>
    <w:rsid w:val="00DE526B"/>
    <w:rsid w:val="00DF199D"/>
    <w:rsid w:val="00E01542"/>
    <w:rsid w:val="00E12FEF"/>
    <w:rsid w:val="00E365F1"/>
    <w:rsid w:val="00E379D8"/>
    <w:rsid w:val="00E508F8"/>
    <w:rsid w:val="00E62F48"/>
    <w:rsid w:val="00E831B3"/>
    <w:rsid w:val="00EA4223"/>
    <w:rsid w:val="00ED5ECC"/>
    <w:rsid w:val="00EE05C4"/>
    <w:rsid w:val="00EE70CB"/>
    <w:rsid w:val="00F11911"/>
    <w:rsid w:val="00F20003"/>
    <w:rsid w:val="00F23775"/>
    <w:rsid w:val="00F27D39"/>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13648C"/>
  <w15:chartTrackingRefBased/>
  <w15:docId w15:val="{E8C5F458-2480-482F-B241-EF2A156E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96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FB673975F44D6FA01DEFCB956D4284"/>
        <w:category>
          <w:name w:val="General"/>
          <w:gallery w:val="placeholder"/>
        </w:category>
        <w:types>
          <w:type w:val="bbPlcHdr"/>
        </w:types>
        <w:behaviors>
          <w:behavior w:val="content"/>
        </w:behaviors>
        <w:guid w:val="{1BEC7E20-19BE-496B-A8E7-04691323B4D4}"/>
      </w:docPartPr>
      <w:docPartBody>
        <w:p w:rsidR="00D721B3" w:rsidRDefault="00D721B3">
          <w:pPr>
            <w:pStyle w:val="D8FB673975F44D6FA01DEFCB956D4284"/>
          </w:pPr>
          <w:r w:rsidRPr="00B844FE">
            <w:t>Prefix Text</w:t>
          </w:r>
        </w:p>
      </w:docPartBody>
    </w:docPart>
    <w:docPart>
      <w:docPartPr>
        <w:name w:val="5205E26E3A794E4EBB483F03056CBCF5"/>
        <w:category>
          <w:name w:val="General"/>
          <w:gallery w:val="placeholder"/>
        </w:category>
        <w:types>
          <w:type w:val="bbPlcHdr"/>
        </w:types>
        <w:behaviors>
          <w:behavior w:val="content"/>
        </w:behaviors>
        <w:guid w:val="{9D735173-A7EE-4F61-8059-E7B6CDC66E3F}"/>
      </w:docPartPr>
      <w:docPartBody>
        <w:p w:rsidR="00D721B3" w:rsidRDefault="00D721B3">
          <w:pPr>
            <w:pStyle w:val="5205E26E3A794E4EBB483F03056CBCF5"/>
          </w:pPr>
          <w:r w:rsidRPr="00B844FE">
            <w:t>[Type here]</w:t>
          </w:r>
        </w:p>
      </w:docPartBody>
    </w:docPart>
    <w:docPart>
      <w:docPartPr>
        <w:name w:val="6464E7A7F6CD44C0ADF19A8966898502"/>
        <w:category>
          <w:name w:val="General"/>
          <w:gallery w:val="placeholder"/>
        </w:category>
        <w:types>
          <w:type w:val="bbPlcHdr"/>
        </w:types>
        <w:behaviors>
          <w:behavior w:val="content"/>
        </w:behaviors>
        <w:guid w:val="{B91B314A-0C34-4EE9-BAAE-0BA9291D521E}"/>
      </w:docPartPr>
      <w:docPartBody>
        <w:p w:rsidR="00D721B3" w:rsidRDefault="00D721B3">
          <w:pPr>
            <w:pStyle w:val="6464E7A7F6CD44C0ADF19A8966898502"/>
          </w:pPr>
          <w:r>
            <w:rPr>
              <w:rStyle w:val="PlaceholderText"/>
            </w:rPr>
            <w:t>Number</w:t>
          </w:r>
        </w:p>
      </w:docPartBody>
    </w:docPart>
    <w:docPart>
      <w:docPartPr>
        <w:name w:val="472ACF78EC88452BAD73CDBD09D7DE63"/>
        <w:category>
          <w:name w:val="General"/>
          <w:gallery w:val="placeholder"/>
        </w:category>
        <w:types>
          <w:type w:val="bbPlcHdr"/>
        </w:types>
        <w:behaviors>
          <w:behavior w:val="content"/>
        </w:behaviors>
        <w:guid w:val="{1AD111A5-EA1F-4830-8CD6-B351672CFB1D}"/>
      </w:docPartPr>
      <w:docPartBody>
        <w:p w:rsidR="00D721B3" w:rsidRDefault="00D721B3">
          <w:pPr>
            <w:pStyle w:val="472ACF78EC88452BAD73CDBD09D7DE63"/>
          </w:pPr>
          <w:r w:rsidRPr="00B844FE">
            <w:t>Enter Sponsors Here</w:t>
          </w:r>
        </w:p>
      </w:docPartBody>
    </w:docPart>
    <w:docPart>
      <w:docPartPr>
        <w:name w:val="17DF610EFE604BFF8945DA838BC7A7C0"/>
        <w:category>
          <w:name w:val="General"/>
          <w:gallery w:val="placeholder"/>
        </w:category>
        <w:types>
          <w:type w:val="bbPlcHdr"/>
        </w:types>
        <w:behaviors>
          <w:behavior w:val="content"/>
        </w:behaviors>
        <w:guid w:val="{9B80BE13-5CF7-4CAA-8269-19CA8A7D16E3}"/>
      </w:docPartPr>
      <w:docPartBody>
        <w:p w:rsidR="00D721B3" w:rsidRDefault="00D721B3">
          <w:pPr>
            <w:pStyle w:val="17DF610EFE604BFF8945DA838BC7A7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B3"/>
    <w:rsid w:val="00D7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FB673975F44D6FA01DEFCB956D4284">
    <w:name w:val="D8FB673975F44D6FA01DEFCB956D4284"/>
  </w:style>
  <w:style w:type="paragraph" w:customStyle="1" w:styleId="5205E26E3A794E4EBB483F03056CBCF5">
    <w:name w:val="5205E26E3A794E4EBB483F03056CBCF5"/>
  </w:style>
  <w:style w:type="character" w:styleId="PlaceholderText">
    <w:name w:val="Placeholder Text"/>
    <w:basedOn w:val="DefaultParagraphFont"/>
    <w:uiPriority w:val="99"/>
    <w:semiHidden/>
    <w:rPr>
      <w:color w:val="808080"/>
    </w:rPr>
  </w:style>
  <w:style w:type="paragraph" w:customStyle="1" w:styleId="6464E7A7F6CD44C0ADF19A8966898502">
    <w:name w:val="6464E7A7F6CD44C0ADF19A8966898502"/>
  </w:style>
  <w:style w:type="paragraph" w:customStyle="1" w:styleId="472ACF78EC88452BAD73CDBD09D7DE63">
    <w:name w:val="472ACF78EC88452BAD73CDBD09D7DE63"/>
  </w:style>
  <w:style w:type="paragraph" w:customStyle="1" w:styleId="17DF610EFE604BFF8945DA838BC7A7C0">
    <w:name w:val="17DF610EFE604BFF8945DA838BC7A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9</cp:revision>
  <dcterms:created xsi:type="dcterms:W3CDTF">2022-02-02T17:17:00Z</dcterms:created>
  <dcterms:modified xsi:type="dcterms:W3CDTF">2022-02-18T21:45:00Z</dcterms:modified>
</cp:coreProperties>
</file>